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BB" w:rsidRPr="005D39BB" w:rsidRDefault="00E90983" w:rsidP="005D39BB">
      <w:pPr>
        <w:pBdr>
          <w:bottom w:val="single" w:sz="4" w:space="1" w:color="auto"/>
        </w:pBdr>
        <w:spacing w:after="0" w:line="240" w:lineRule="auto"/>
        <w:rPr>
          <w:rFonts w:ascii="Tahoma" w:hAnsi="Tahoma" w:cs="Tahoma"/>
          <w:b/>
          <w:bCs/>
          <w:sz w:val="24"/>
          <w:szCs w:val="24"/>
          <w:lang w:val="en-US" w:eastAsia="it-IT"/>
        </w:rPr>
      </w:pPr>
      <w:r>
        <w:rPr>
          <w:rFonts w:ascii="Tahoma" w:hAnsi="Tahoma" w:cs="Tahoma"/>
          <w:b/>
          <w:bCs/>
          <w:sz w:val="24"/>
          <w:szCs w:val="24"/>
          <w:lang w:val="en-US" w:eastAsia="it-IT"/>
        </w:rPr>
        <w:t>Table 2</w:t>
      </w:r>
      <w:r w:rsidR="005D39BB" w:rsidRPr="005D39BB">
        <w:rPr>
          <w:rFonts w:ascii="Tahoma" w:hAnsi="Tahoma" w:cs="Tahoma"/>
          <w:b/>
          <w:bCs/>
          <w:sz w:val="24"/>
          <w:szCs w:val="24"/>
          <w:lang w:val="en-US" w:eastAsia="it-IT"/>
        </w:rPr>
        <w:t xml:space="preserve"> Inter-rater reliability of triage methods  and TEM v2 </w:t>
      </w:r>
    </w:p>
    <w:p w:rsidR="005D39BB" w:rsidRDefault="005D39BB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</w:t>
      </w:r>
      <w:r w:rsidRPr="005D39BB">
        <w:rPr>
          <w:b/>
          <w:u w:val="single"/>
          <w:lang w:val="en-US"/>
        </w:rPr>
        <w:t>Group 1</w:t>
      </w:r>
      <w:r>
        <w:rPr>
          <w:lang w:val="en-US"/>
        </w:rPr>
        <w:t xml:space="preserve">                        </w:t>
      </w:r>
      <w:r w:rsidRPr="005D39BB">
        <w:rPr>
          <w:b/>
          <w:u w:val="single"/>
          <w:lang w:val="en-US"/>
        </w:rPr>
        <w:t>Group 2</w:t>
      </w:r>
      <w:r>
        <w:rPr>
          <w:lang w:val="en-US"/>
        </w:rPr>
        <w:t xml:space="preserve">                             </w:t>
      </w:r>
      <w:r w:rsidRPr="005D39BB">
        <w:rPr>
          <w:b/>
          <w:u w:val="single"/>
          <w:lang w:val="en-US"/>
        </w:rPr>
        <w:t>Group 3</w:t>
      </w:r>
      <w:r>
        <w:rPr>
          <w:lang w:val="en-US"/>
        </w:rPr>
        <w:t xml:space="preserve">                  </w:t>
      </w:r>
      <w:r w:rsidRPr="005D39BB">
        <w:rPr>
          <w:b/>
          <w:u w:val="single"/>
          <w:lang w:val="en-US"/>
        </w:rPr>
        <w:t>Group 4</w:t>
      </w:r>
      <w:r>
        <w:rPr>
          <w:lang w:val="en-US"/>
        </w:rPr>
        <w:t xml:space="preserve">                      </w:t>
      </w:r>
      <w:r w:rsidRPr="005D39BB">
        <w:rPr>
          <w:b/>
          <w:u w:val="single"/>
          <w:lang w:val="en-US"/>
        </w:rPr>
        <w:t>Group 5</w:t>
      </w:r>
      <w:r>
        <w:rPr>
          <w:lang w:val="en-US"/>
        </w:rPr>
        <w:t xml:space="preserve">                           </w:t>
      </w:r>
      <w:r w:rsidRPr="005D39BB">
        <w:rPr>
          <w:b/>
          <w:u w:val="single"/>
          <w:lang w:val="en-US"/>
        </w:rPr>
        <w:t>Group 6</w:t>
      </w:r>
      <w:r>
        <w:rPr>
          <w:lang w:val="en-US"/>
        </w:rPr>
        <w:t xml:space="preserve">       </w:t>
      </w:r>
    </w:p>
    <w:p w:rsidR="005D39BB" w:rsidRDefault="005D39BB">
      <w:pPr>
        <w:rPr>
          <w:lang w:val="en-US"/>
        </w:rPr>
      </w:pPr>
      <w:r>
        <w:rPr>
          <w:lang w:val="en-US"/>
        </w:rPr>
        <w:t xml:space="preserve">                                                    </w:t>
      </w:r>
      <w:r w:rsidR="00E90983">
        <w:rPr>
          <w:lang w:val="en-US"/>
        </w:rPr>
        <w:t xml:space="preserve">       </w:t>
      </w:r>
      <w:r>
        <w:rPr>
          <w:lang w:val="en-US"/>
        </w:rPr>
        <w:t xml:space="preserve">   </w:t>
      </w:r>
      <w:r w:rsidR="003A0B59">
        <w:rPr>
          <w:u w:val="single"/>
          <w:lang w:val="en-US"/>
        </w:rPr>
        <w:t>Met 1</w:t>
      </w:r>
      <w:r w:rsidRPr="00A93C64">
        <w:rPr>
          <w:u w:val="single"/>
          <w:lang w:val="en-US"/>
        </w:rPr>
        <w:t xml:space="preserve">           TEM</w:t>
      </w:r>
      <w:r w:rsidR="00E90983">
        <w:rPr>
          <w:lang w:val="en-US"/>
        </w:rPr>
        <w:t xml:space="preserve"> </w:t>
      </w:r>
      <w:r>
        <w:rPr>
          <w:lang w:val="en-US"/>
        </w:rPr>
        <w:t xml:space="preserve">        </w:t>
      </w:r>
      <w:r w:rsidRPr="00A93C64">
        <w:rPr>
          <w:u w:val="single"/>
          <w:lang w:val="en-US"/>
        </w:rPr>
        <w:t xml:space="preserve">Met 2           TEM   </w:t>
      </w:r>
      <w:r>
        <w:rPr>
          <w:lang w:val="en-US"/>
        </w:rPr>
        <w:t xml:space="preserve">         </w:t>
      </w:r>
      <w:r w:rsidRPr="00A93C64">
        <w:rPr>
          <w:u w:val="single"/>
          <w:lang w:val="en-US"/>
        </w:rPr>
        <w:t>Met 3</w:t>
      </w:r>
      <w:r w:rsidR="00E90983" w:rsidRPr="00A93C64">
        <w:rPr>
          <w:u w:val="single"/>
          <w:lang w:val="en-US"/>
        </w:rPr>
        <w:t xml:space="preserve">        </w:t>
      </w:r>
      <w:r w:rsidRPr="00A93C64">
        <w:rPr>
          <w:u w:val="single"/>
          <w:lang w:val="en-US"/>
        </w:rPr>
        <w:t xml:space="preserve"> TEM</w:t>
      </w:r>
      <w:r w:rsidR="00E90983">
        <w:rPr>
          <w:lang w:val="en-US"/>
        </w:rPr>
        <w:t xml:space="preserve">  </w:t>
      </w:r>
      <w:r>
        <w:rPr>
          <w:lang w:val="en-US"/>
        </w:rPr>
        <w:t xml:space="preserve">    </w:t>
      </w:r>
      <w:r w:rsidR="00E90983">
        <w:rPr>
          <w:lang w:val="en-US"/>
        </w:rPr>
        <w:t xml:space="preserve"> </w:t>
      </w:r>
      <w:r w:rsidRPr="00A93C64">
        <w:rPr>
          <w:u w:val="single"/>
          <w:lang w:val="en-US"/>
        </w:rPr>
        <w:t>Met 4           TEM</w:t>
      </w:r>
      <w:r>
        <w:rPr>
          <w:lang w:val="en-US"/>
        </w:rPr>
        <w:t xml:space="preserve">         </w:t>
      </w:r>
      <w:r w:rsidRPr="00A93C64">
        <w:rPr>
          <w:u w:val="single"/>
          <w:lang w:val="en-US"/>
        </w:rPr>
        <w:t>Met 5           TEM</w:t>
      </w:r>
      <w:r>
        <w:rPr>
          <w:lang w:val="en-US"/>
        </w:rPr>
        <w:t xml:space="preserve">           </w:t>
      </w:r>
      <w:r w:rsidRPr="00A93C64">
        <w:rPr>
          <w:u w:val="single"/>
          <w:lang w:val="en-US"/>
        </w:rPr>
        <w:t>Met 6           TEM</w:t>
      </w:r>
      <w:r>
        <w:rPr>
          <w:lang w:val="en-US"/>
        </w:rPr>
        <w:t xml:space="preserve">      </w:t>
      </w:r>
    </w:p>
    <w:p w:rsidR="005D39BB" w:rsidRDefault="005D39BB">
      <w:pPr>
        <w:rPr>
          <w:lang w:val="en-US"/>
        </w:rPr>
      </w:pPr>
    </w:p>
    <w:p w:rsidR="005D39BB" w:rsidRDefault="001D2894">
      <w:pPr>
        <w:rPr>
          <w:lang w:val="en-US"/>
        </w:rPr>
      </w:pPr>
      <w:r>
        <w:rPr>
          <w:b/>
          <w:lang w:val="en-US"/>
        </w:rPr>
        <w:t>Weigh</w:t>
      </w:r>
      <w:r w:rsidR="005D39BB" w:rsidRPr="00E90983">
        <w:rPr>
          <w:b/>
          <w:lang w:val="en-US"/>
        </w:rPr>
        <w:t>ted K inter</w:t>
      </w:r>
      <w:r w:rsidR="005D39BB">
        <w:rPr>
          <w:lang w:val="en-US"/>
        </w:rPr>
        <w:t xml:space="preserve">                                0,71             0,75        0,80                   1              0,69</w:t>
      </w:r>
      <w:r w:rsidR="00E90983">
        <w:rPr>
          <w:lang w:val="en-US"/>
        </w:rPr>
        <w:t xml:space="preserve">           0,61         0,76            1               0,98              0,84           0,25             0,79                   </w:t>
      </w:r>
      <w:r w:rsidR="005D39BB">
        <w:rPr>
          <w:lang w:val="en-US"/>
        </w:rPr>
        <w:t xml:space="preserve">  </w:t>
      </w:r>
    </w:p>
    <w:p w:rsidR="005D39BB" w:rsidRDefault="005D39BB">
      <w:pPr>
        <w:rPr>
          <w:lang w:val="en-US"/>
        </w:rPr>
      </w:pPr>
      <w:r w:rsidRPr="00E90983">
        <w:rPr>
          <w:b/>
          <w:lang w:val="en-US"/>
        </w:rPr>
        <w:t>Complete agreement  %</w:t>
      </w:r>
      <w:r>
        <w:rPr>
          <w:lang w:val="en-US"/>
        </w:rPr>
        <w:t xml:space="preserve">        </w:t>
      </w:r>
      <w:r w:rsidR="00E90983">
        <w:rPr>
          <w:lang w:val="en-US"/>
        </w:rPr>
        <w:t xml:space="preserve">             64                  73             68                 100             68               35             74           100              94                  83              41               82                </w:t>
      </w:r>
    </w:p>
    <w:p w:rsidR="00E90983" w:rsidRDefault="005D39BB" w:rsidP="00E90983">
      <w:pPr>
        <w:pBdr>
          <w:bottom w:val="single" w:sz="4" w:space="1" w:color="auto"/>
        </w:pBdr>
        <w:rPr>
          <w:lang w:val="en-US"/>
        </w:rPr>
      </w:pPr>
      <w:r w:rsidRPr="00E90983">
        <w:rPr>
          <w:b/>
          <w:lang w:val="en-US"/>
        </w:rPr>
        <w:t>Complete disagreement %</w:t>
      </w:r>
      <w:r>
        <w:rPr>
          <w:lang w:val="en-US"/>
        </w:rPr>
        <w:t xml:space="preserve">                  </w:t>
      </w:r>
      <w:r w:rsidR="00E90983">
        <w:rPr>
          <w:lang w:val="en-US"/>
        </w:rPr>
        <w:t xml:space="preserve">2                    0                4                     0              </w:t>
      </w:r>
      <w:proofErr w:type="spellStart"/>
      <w:r w:rsidR="00E90983">
        <w:rPr>
          <w:lang w:val="en-US"/>
        </w:rPr>
        <w:t>0</w:t>
      </w:r>
      <w:proofErr w:type="spellEnd"/>
      <w:r w:rsidR="00E90983">
        <w:rPr>
          <w:lang w:val="en-US"/>
        </w:rPr>
        <w:t xml:space="preserve">                  3               0              </w:t>
      </w:r>
      <w:proofErr w:type="spellStart"/>
      <w:r w:rsidR="00E90983">
        <w:rPr>
          <w:lang w:val="en-US"/>
        </w:rPr>
        <w:t>0</w:t>
      </w:r>
      <w:proofErr w:type="spellEnd"/>
      <w:r w:rsidR="00E90983">
        <w:rPr>
          <w:lang w:val="en-US"/>
        </w:rPr>
        <w:t xml:space="preserve">                   </w:t>
      </w:r>
      <w:proofErr w:type="spellStart"/>
      <w:r w:rsidR="00E90983">
        <w:rPr>
          <w:lang w:val="en-US"/>
        </w:rPr>
        <w:t>0</w:t>
      </w:r>
      <w:proofErr w:type="spellEnd"/>
      <w:r w:rsidR="00E90983">
        <w:rPr>
          <w:lang w:val="en-US"/>
        </w:rPr>
        <w:t xml:space="preserve">                   </w:t>
      </w:r>
      <w:proofErr w:type="spellStart"/>
      <w:r w:rsidR="00E90983">
        <w:rPr>
          <w:lang w:val="en-US"/>
        </w:rPr>
        <w:t>0</w:t>
      </w:r>
      <w:proofErr w:type="spellEnd"/>
      <w:r w:rsidR="00E90983">
        <w:rPr>
          <w:lang w:val="en-US"/>
        </w:rPr>
        <w:t xml:space="preserve">                2                  </w:t>
      </w:r>
      <w:proofErr w:type="spellStart"/>
      <w:r w:rsidR="00E90983">
        <w:rPr>
          <w:lang w:val="en-US"/>
        </w:rPr>
        <w:t>2</w:t>
      </w:r>
      <w:proofErr w:type="spellEnd"/>
      <w:r w:rsidR="00E90983">
        <w:rPr>
          <w:lang w:val="en-US"/>
        </w:rPr>
        <w:t xml:space="preserve">     </w:t>
      </w:r>
      <w:r>
        <w:rPr>
          <w:lang w:val="en-US"/>
        </w:rPr>
        <w:t xml:space="preserve">       </w:t>
      </w:r>
    </w:p>
    <w:p w:rsidR="00E90983" w:rsidRDefault="00E90983" w:rsidP="00E90983">
      <w:pPr>
        <w:pBdr>
          <w:bottom w:val="single" w:sz="4" w:space="1" w:color="auto"/>
        </w:pBdr>
        <w:rPr>
          <w:lang w:val="en-US"/>
        </w:rPr>
      </w:pPr>
    </w:p>
    <w:p w:rsidR="00E90983" w:rsidRDefault="00E90983" w:rsidP="00E90983">
      <w:pPr>
        <w:rPr>
          <w:lang w:val="en-US"/>
        </w:rPr>
      </w:pPr>
      <w:r>
        <w:rPr>
          <w:lang w:val="en-US"/>
        </w:rPr>
        <w:t>Note</w:t>
      </w:r>
    </w:p>
    <w:tbl>
      <w:tblPr>
        <w:tblW w:w="14785" w:type="dxa"/>
        <w:tblInd w:w="53" w:type="dxa"/>
        <w:tblCellMar>
          <w:left w:w="70" w:type="dxa"/>
          <w:right w:w="70" w:type="dxa"/>
        </w:tblCellMar>
        <w:tblLook w:val="00A0"/>
      </w:tblPr>
      <w:tblGrid>
        <w:gridCol w:w="12865"/>
        <w:gridCol w:w="1920"/>
      </w:tblGrid>
      <w:tr w:rsidR="00E90983" w:rsidRPr="00A93C64" w:rsidTr="008B23FB">
        <w:trPr>
          <w:trHeight w:val="300"/>
        </w:trPr>
        <w:tc>
          <w:tcPr>
            <w:tcW w:w="147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0983" w:rsidRDefault="00E90983" w:rsidP="00E9098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K inter range = 0-1 (o</w:t>
            </w:r>
            <w:r w:rsidR="003A0B59">
              <w:rPr>
                <w:lang w:val="en-US"/>
              </w:rPr>
              <w:t>=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scarse</w:t>
            </w:r>
            <w:proofErr w:type="spellEnd"/>
            <w:r>
              <w:rPr>
                <w:lang w:val="en-US"/>
              </w:rPr>
              <w:t xml:space="preserve"> a</w:t>
            </w:r>
            <w:r w:rsidR="003A0B59">
              <w:rPr>
                <w:lang w:val="en-US"/>
              </w:rPr>
              <w:t>greement, 1= maximum agreement)</w:t>
            </w:r>
          </w:p>
          <w:p w:rsidR="00E90983" w:rsidRPr="00E90983" w:rsidRDefault="00E90983" w:rsidP="00E9098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E90983">
              <w:rPr>
                <w:color w:val="000000"/>
                <w:lang w:val="en-US" w:eastAsia="it-IT"/>
              </w:rPr>
              <w:t>omplete agreement</w:t>
            </w:r>
            <w:r>
              <w:rPr>
                <w:color w:val="000000"/>
                <w:lang w:val="en-US" w:eastAsia="it-IT"/>
              </w:rPr>
              <w:t xml:space="preserve"> : </w:t>
            </w:r>
            <w:r w:rsidRPr="00E90983">
              <w:rPr>
                <w:lang w:val="en-US"/>
              </w:rPr>
              <w:t xml:space="preserve">when all 12 nurses enrolled assigned the same triage code  </w:t>
            </w:r>
          </w:p>
        </w:tc>
      </w:tr>
      <w:tr w:rsidR="00E90983" w:rsidRPr="00A93C64" w:rsidTr="00E90983">
        <w:trPr>
          <w:gridAfter w:val="1"/>
          <w:wAfter w:w="1920" w:type="dxa"/>
          <w:trHeight w:val="300"/>
        </w:trPr>
        <w:tc>
          <w:tcPr>
            <w:tcW w:w="128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0983" w:rsidRDefault="00E90983" w:rsidP="00E90983">
            <w:pPr>
              <w:spacing w:after="0" w:line="240" w:lineRule="auto"/>
              <w:rPr>
                <w:lang w:val="en-US"/>
              </w:rPr>
            </w:pPr>
            <w:r w:rsidRPr="00E90983">
              <w:rPr>
                <w:color w:val="000000"/>
                <w:lang w:val="en-US" w:eastAsia="it-IT"/>
              </w:rPr>
              <w:t xml:space="preserve"> </w:t>
            </w:r>
            <w:r>
              <w:rPr>
                <w:lang w:val="en-US"/>
              </w:rPr>
              <w:t xml:space="preserve">Complete disagreement : </w:t>
            </w:r>
            <w:r w:rsidRPr="00E90983">
              <w:rPr>
                <w:lang w:val="en-US"/>
              </w:rPr>
              <w:t>when nurses of the same group assigned to the same scenario triage codes that differed in more than two priority levels, e.g., o</w:t>
            </w:r>
            <w:r w:rsidR="003A0B59">
              <w:rPr>
                <w:lang w:val="en-US"/>
              </w:rPr>
              <w:t xml:space="preserve">ne nurse assigned level 4  and  one </w:t>
            </w:r>
            <w:r w:rsidRPr="00E90983">
              <w:rPr>
                <w:lang w:val="en-US"/>
              </w:rPr>
              <w:t>othe</w:t>
            </w:r>
            <w:r w:rsidR="003A0B59">
              <w:rPr>
                <w:lang w:val="en-US"/>
              </w:rPr>
              <w:t xml:space="preserve">r </w:t>
            </w:r>
            <w:r w:rsidRPr="00E90983">
              <w:rPr>
                <w:lang w:val="en-US"/>
              </w:rPr>
              <w:t xml:space="preserve"> level 1</w:t>
            </w:r>
          </w:p>
          <w:p w:rsidR="00E90983" w:rsidRPr="00E90983" w:rsidRDefault="00E90983" w:rsidP="00E90983">
            <w:pPr>
              <w:spacing w:after="0" w:line="240" w:lineRule="auto"/>
              <w:rPr>
                <w:color w:val="000000"/>
                <w:lang w:val="en-US" w:eastAsia="it-IT"/>
              </w:rPr>
            </w:pPr>
            <w:r>
              <w:rPr>
                <w:lang w:val="en-US"/>
              </w:rPr>
              <w:t>Met = Triage Method used in 12 Emergency Departments</w:t>
            </w:r>
            <w:r w:rsidR="003A0B59">
              <w:rPr>
                <w:lang w:val="en-US"/>
              </w:rPr>
              <w:t xml:space="preserve"> ; TEM = Triage emergency Method version 2</w:t>
            </w:r>
          </w:p>
        </w:tc>
      </w:tr>
    </w:tbl>
    <w:p w:rsidR="00E90983" w:rsidRDefault="005D39BB" w:rsidP="00E90983">
      <w:pPr>
        <w:rPr>
          <w:lang w:val="en-US"/>
        </w:rPr>
      </w:pPr>
      <w:r w:rsidRPr="00E90983">
        <w:rPr>
          <w:lang w:val="en-US"/>
        </w:rPr>
        <w:t xml:space="preserve">                    </w:t>
      </w:r>
    </w:p>
    <w:p w:rsidR="00E90983" w:rsidRDefault="00E90983" w:rsidP="00E90983">
      <w:pPr>
        <w:rPr>
          <w:lang w:val="en-US"/>
        </w:rPr>
      </w:pPr>
    </w:p>
    <w:p w:rsidR="00E90983" w:rsidRDefault="00E90983" w:rsidP="00E90983">
      <w:pPr>
        <w:rPr>
          <w:lang w:val="en-US"/>
        </w:rPr>
      </w:pPr>
    </w:p>
    <w:p w:rsidR="00E90983" w:rsidRDefault="00E90983" w:rsidP="00E90983">
      <w:pPr>
        <w:rPr>
          <w:lang w:val="en-US"/>
        </w:rPr>
      </w:pPr>
    </w:p>
    <w:p w:rsidR="00E90983" w:rsidRDefault="00E90983" w:rsidP="00E90983">
      <w:pPr>
        <w:rPr>
          <w:lang w:val="en-US"/>
        </w:rPr>
      </w:pPr>
    </w:p>
    <w:p w:rsidR="00E90983" w:rsidRDefault="00E90983" w:rsidP="00E90983">
      <w:pPr>
        <w:rPr>
          <w:lang w:val="en-US"/>
        </w:rPr>
      </w:pPr>
    </w:p>
    <w:p w:rsidR="00E90983" w:rsidRDefault="00E90983" w:rsidP="00E90983">
      <w:pPr>
        <w:rPr>
          <w:lang w:val="en-US"/>
        </w:rPr>
      </w:pPr>
    </w:p>
    <w:p w:rsidR="00E90983" w:rsidRDefault="00E90983" w:rsidP="00E90983">
      <w:pPr>
        <w:rPr>
          <w:lang w:val="en-US"/>
        </w:rPr>
      </w:pPr>
    </w:p>
    <w:p w:rsidR="00DD7C60" w:rsidRPr="00DD7C60" w:rsidRDefault="00DD7C60" w:rsidP="001A2287">
      <w:pPr>
        <w:pBdr>
          <w:bottom w:val="single" w:sz="4" w:space="1" w:color="auto"/>
        </w:pBdr>
        <w:rPr>
          <w:b/>
          <w:bCs/>
          <w:color w:val="000000"/>
          <w:sz w:val="28"/>
          <w:szCs w:val="28"/>
          <w:lang w:val="en-US" w:eastAsia="it-IT"/>
        </w:rPr>
      </w:pPr>
      <w:r w:rsidRPr="00DD7C60">
        <w:rPr>
          <w:b/>
          <w:bCs/>
          <w:color w:val="000000"/>
          <w:sz w:val="28"/>
          <w:szCs w:val="28"/>
          <w:lang w:val="en-US" w:eastAsia="it-IT"/>
        </w:rPr>
        <w:lastRenderedPageBreak/>
        <w:t>Table 3</w:t>
      </w:r>
      <w:r>
        <w:rPr>
          <w:b/>
          <w:bCs/>
          <w:color w:val="000000"/>
          <w:sz w:val="28"/>
          <w:szCs w:val="28"/>
          <w:lang w:val="en-US" w:eastAsia="it-IT"/>
        </w:rPr>
        <w:t xml:space="preserve"> Validity of TEM v2 for</w:t>
      </w:r>
      <w:r w:rsidRPr="00DD7C60">
        <w:rPr>
          <w:b/>
          <w:bCs/>
          <w:color w:val="000000"/>
          <w:sz w:val="28"/>
          <w:szCs w:val="28"/>
          <w:lang w:val="en-US" w:eastAsia="it-IT"/>
        </w:rPr>
        <w:t xml:space="preserve">  predict</w:t>
      </w:r>
      <w:r>
        <w:rPr>
          <w:b/>
          <w:bCs/>
          <w:color w:val="000000"/>
          <w:sz w:val="28"/>
          <w:szCs w:val="28"/>
          <w:lang w:val="en-US" w:eastAsia="it-IT"/>
        </w:rPr>
        <w:t xml:space="preserve">ion of </w:t>
      </w:r>
      <w:r w:rsidRPr="00DD7C60">
        <w:rPr>
          <w:b/>
          <w:bCs/>
          <w:color w:val="000000"/>
          <w:sz w:val="28"/>
          <w:szCs w:val="28"/>
          <w:lang w:val="en-US" w:eastAsia="it-IT"/>
        </w:rPr>
        <w:t xml:space="preserve"> the Reference Standard’s rating           </w:t>
      </w:r>
    </w:p>
    <w:p w:rsidR="001A2287" w:rsidRDefault="001A2287" w:rsidP="001A2287">
      <w:pPr>
        <w:pBdr>
          <w:bottom w:val="single" w:sz="4" w:space="1" w:color="auto"/>
        </w:pBdr>
        <w:rPr>
          <w:lang w:val="en-US"/>
        </w:rPr>
      </w:pPr>
      <w:r w:rsidRPr="001A2287">
        <w:rPr>
          <w:b/>
          <w:lang w:val="en-US"/>
        </w:rPr>
        <w:t xml:space="preserve">                                </w:t>
      </w:r>
      <w:r>
        <w:rPr>
          <w:b/>
          <w:lang w:val="en-US"/>
        </w:rPr>
        <w:t xml:space="preserve">               </w:t>
      </w:r>
      <w:r w:rsidRPr="001A2287">
        <w:rPr>
          <w:b/>
          <w:lang w:val="en-US"/>
        </w:rPr>
        <w:t xml:space="preserve">          </w:t>
      </w:r>
      <w:r w:rsidRPr="007E4D4D">
        <w:rPr>
          <w:b/>
          <w:u w:val="single"/>
          <w:lang w:val="en-US"/>
        </w:rPr>
        <w:t>Group 1</w:t>
      </w:r>
      <w:r>
        <w:rPr>
          <w:lang w:val="en-US"/>
        </w:rPr>
        <w:t xml:space="preserve">                        </w:t>
      </w:r>
      <w:r w:rsidRPr="005D39BB">
        <w:rPr>
          <w:b/>
          <w:u w:val="single"/>
          <w:lang w:val="en-US"/>
        </w:rPr>
        <w:t>Group 2</w:t>
      </w:r>
      <w:r>
        <w:rPr>
          <w:lang w:val="en-US"/>
        </w:rPr>
        <w:t xml:space="preserve">                             </w:t>
      </w:r>
      <w:r w:rsidRPr="005D39BB">
        <w:rPr>
          <w:b/>
          <w:u w:val="single"/>
          <w:lang w:val="en-US"/>
        </w:rPr>
        <w:t>Group 3</w:t>
      </w:r>
      <w:r>
        <w:rPr>
          <w:lang w:val="en-US"/>
        </w:rPr>
        <w:t xml:space="preserve">                  </w:t>
      </w:r>
      <w:r w:rsidRPr="005D39BB">
        <w:rPr>
          <w:b/>
          <w:u w:val="single"/>
          <w:lang w:val="en-US"/>
        </w:rPr>
        <w:t>Group 4</w:t>
      </w:r>
      <w:r>
        <w:rPr>
          <w:lang w:val="en-US"/>
        </w:rPr>
        <w:t xml:space="preserve">                      </w:t>
      </w:r>
      <w:r w:rsidRPr="005D39BB">
        <w:rPr>
          <w:b/>
          <w:u w:val="single"/>
          <w:lang w:val="en-US"/>
        </w:rPr>
        <w:t>Group 5</w:t>
      </w:r>
      <w:r>
        <w:rPr>
          <w:lang w:val="en-US"/>
        </w:rPr>
        <w:t xml:space="preserve">                           </w:t>
      </w:r>
      <w:r w:rsidRPr="005D39BB">
        <w:rPr>
          <w:b/>
          <w:u w:val="single"/>
          <w:lang w:val="en-US"/>
        </w:rPr>
        <w:t>Group 6</w:t>
      </w:r>
      <w:r>
        <w:rPr>
          <w:lang w:val="en-US"/>
        </w:rPr>
        <w:t xml:space="preserve">   </w:t>
      </w:r>
    </w:p>
    <w:p w:rsidR="001A2287" w:rsidRPr="001A2287" w:rsidRDefault="001A2287" w:rsidP="00E90983">
      <w:proofErr w:type="spellStart"/>
      <w:r w:rsidRPr="001A2287">
        <w:rPr>
          <w:b/>
        </w:rPr>
        <w:t>Accuracy</w:t>
      </w:r>
      <w:proofErr w:type="spellEnd"/>
      <w:r w:rsidRPr="001A2287">
        <w:rPr>
          <w:b/>
        </w:rPr>
        <w:t xml:space="preserve"> (95% </w:t>
      </w:r>
      <w:proofErr w:type="spellStart"/>
      <w:r w:rsidRPr="001A2287">
        <w:rPr>
          <w:b/>
        </w:rPr>
        <w:t>CI</w:t>
      </w:r>
      <w:proofErr w:type="spellEnd"/>
      <w:r w:rsidRPr="001A2287">
        <w:rPr>
          <w:b/>
        </w:rPr>
        <w:t>)</w:t>
      </w:r>
      <w:r>
        <w:t xml:space="preserve">                     0,78 (0,51-1,05)          0,79(0,57-1,00)            0,90(0,71-1,09)          0,79(0,57-1,00)         0,83(0,62-1,04)         0,86(0,67-1,04)                      </w:t>
      </w:r>
    </w:p>
    <w:p w:rsidR="001A2287" w:rsidRPr="001A2287" w:rsidRDefault="001A2287" w:rsidP="00E90983">
      <w:proofErr w:type="spellStart"/>
      <w:r w:rsidRPr="001A2287">
        <w:rPr>
          <w:b/>
        </w:rPr>
        <w:t>Sensitivity</w:t>
      </w:r>
      <w:proofErr w:type="spellEnd"/>
      <w:r w:rsidRPr="001A2287">
        <w:rPr>
          <w:b/>
        </w:rPr>
        <w:t xml:space="preserve"> (95% </w:t>
      </w:r>
      <w:proofErr w:type="spellStart"/>
      <w:r w:rsidRPr="001A2287">
        <w:rPr>
          <w:b/>
        </w:rPr>
        <w:t>CI</w:t>
      </w:r>
      <w:proofErr w:type="spellEnd"/>
      <w:r w:rsidRPr="001A2287">
        <w:rPr>
          <w:b/>
        </w:rPr>
        <w:t>)</w:t>
      </w:r>
      <w:r>
        <w:t xml:space="preserve">                  1 ,00(1,00-1,00)          1 ,00(1,00-1,00)            1 ,00(1,00-1,00)         0,98(0,94-1,02)       1 ,00(1,00-1,00)        1 ,00(1,00-1,00)    </w:t>
      </w:r>
    </w:p>
    <w:p w:rsidR="001A2287" w:rsidRPr="001A2287" w:rsidRDefault="001A2287" w:rsidP="00E90983">
      <w:proofErr w:type="spellStart"/>
      <w:r w:rsidRPr="001A2287">
        <w:rPr>
          <w:b/>
        </w:rPr>
        <w:t>Specificity</w:t>
      </w:r>
      <w:proofErr w:type="spellEnd"/>
      <w:r w:rsidRPr="001A2287">
        <w:rPr>
          <w:b/>
        </w:rPr>
        <w:t xml:space="preserve"> (95% </w:t>
      </w:r>
      <w:proofErr w:type="spellStart"/>
      <w:r w:rsidRPr="001A2287">
        <w:rPr>
          <w:b/>
        </w:rPr>
        <w:t>CI</w:t>
      </w:r>
      <w:proofErr w:type="spellEnd"/>
      <w:r w:rsidRPr="001A2287">
        <w:t>)</w:t>
      </w:r>
      <w:r>
        <w:t xml:space="preserve">                0,97(0,92-1,01)           0,95(0,90-1,00)             0,98(0,94-1,02)             0,94 (0,88-1,00)       0,97(0,92-1,01)         0,97(0,92-1,01)</w:t>
      </w:r>
    </w:p>
    <w:p w:rsidR="001A2287" w:rsidRPr="00A93C64" w:rsidRDefault="001A2287" w:rsidP="00E90983">
      <w:pPr>
        <w:rPr>
          <w:lang w:val="en-US"/>
        </w:rPr>
      </w:pPr>
      <w:r w:rsidRPr="00A93C64">
        <w:rPr>
          <w:b/>
          <w:lang w:val="en-US"/>
        </w:rPr>
        <w:t>PPV           (95% CI)</w:t>
      </w:r>
      <w:r w:rsidRPr="00A93C64">
        <w:rPr>
          <w:lang w:val="en-US"/>
        </w:rPr>
        <w:t xml:space="preserve">                1 ,00(1,00-1,00)            1 ,00(1,00-1,00)            1 ,00(1,00-1,00)           0,92(0,76-1,07)          1 ,00(1,00-1,00)      1 ,00(1,00-1,00)        </w:t>
      </w:r>
    </w:p>
    <w:p w:rsidR="001A2287" w:rsidRPr="00A93C64" w:rsidRDefault="001A2287" w:rsidP="001A2287">
      <w:pPr>
        <w:pBdr>
          <w:bottom w:val="single" w:sz="4" w:space="1" w:color="auto"/>
        </w:pBdr>
        <w:rPr>
          <w:lang w:val="en-US"/>
        </w:rPr>
      </w:pPr>
      <w:r w:rsidRPr="00A93C64">
        <w:rPr>
          <w:b/>
          <w:lang w:val="en-US"/>
        </w:rPr>
        <w:t>NPV          (95% CI)</w:t>
      </w:r>
      <w:r w:rsidRPr="00A93C64">
        <w:rPr>
          <w:lang w:val="en-US"/>
        </w:rPr>
        <w:t xml:space="preserve">                 0,96(0,91-1,01)             0,94(0,88-1,01)            0,97(0,92-1,02)              0,94(0,88-1,01)           0,96(0,91-1,01)       0,96(0,91-1,01)       </w:t>
      </w:r>
    </w:p>
    <w:p w:rsidR="001A2287" w:rsidRPr="00A93C64" w:rsidRDefault="001A2287" w:rsidP="00E90983">
      <w:pPr>
        <w:rPr>
          <w:b/>
          <w:lang w:val="en-US"/>
        </w:rPr>
      </w:pPr>
      <w:r w:rsidRPr="00A93C64">
        <w:rPr>
          <w:b/>
          <w:lang w:val="en-US"/>
        </w:rPr>
        <w:t>Note</w:t>
      </w:r>
    </w:p>
    <w:p w:rsidR="001A2287" w:rsidRPr="001A2287" w:rsidRDefault="001A2287" w:rsidP="001A2287">
      <w:pPr>
        <w:pBdr>
          <w:bottom w:val="single" w:sz="4" w:space="1" w:color="auto"/>
        </w:pBdr>
        <w:rPr>
          <w:b/>
          <w:sz w:val="20"/>
          <w:szCs w:val="20"/>
          <w:lang w:val="en-US"/>
        </w:rPr>
      </w:pPr>
      <w:r w:rsidRPr="001A2287">
        <w:rPr>
          <w:rFonts w:ascii="Tahoma" w:hAnsi="Tahoma" w:cs="Tahoma"/>
          <w:sz w:val="20"/>
          <w:szCs w:val="20"/>
          <w:lang w:val="en-US" w:eastAsia="it-IT"/>
        </w:rPr>
        <w:t xml:space="preserve">We tested  the Accuracy, Sensitivity, Specificity, PPV (positive predictive value)), NPV (negative predictive value) among  groups  of nurses in each Emergency Department </w:t>
      </w:r>
      <w:r w:rsidR="008C3A7D">
        <w:rPr>
          <w:rFonts w:ascii="Tahoma" w:hAnsi="Tahoma" w:cs="Tahoma"/>
          <w:sz w:val="20"/>
          <w:szCs w:val="20"/>
          <w:lang w:val="en-US" w:eastAsia="it-IT"/>
        </w:rPr>
        <w:t>(</w:t>
      </w:r>
      <w:r w:rsidRPr="001A2287">
        <w:rPr>
          <w:rFonts w:ascii="Tahoma" w:hAnsi="Tahoma" w:cs="Tahoma"/>
          <w:sz w:val="20"/>
          <w:szCs w:val="20"/>
          <w:lang w:val="en-US" w:eastAsia="it-IT"/>
        </w:rPr>
        <w:t>who used TEM v2</w:t>
      </w:r>
      <w:r w:rsidR="008C3A7D">
        <w:rPr>
          <w:rFonts w:ascii="Tahoma" w:hAnsi="Tahoma" w:cs="Tahoma"/>
          <w:sz w:val="20"/>
          <w:szCs w:val="20"/>
          <w:lang w:val="en-US" w:eastAsia="it-IT"/>
        </w:rPr>
        <w:t>)</w:t>
      </w:r>
      <w:r w:rsidRPr="001A2287">
        <w:rPr>
          <w:rFonts w:ascii="Tahoma" w:hAnsi="Tahoma" w:cs="Tahoma"/>
          <w:sz w:val="20"/>
          <w:szCs w:val="20"/>
          <w:lang w:val="en-US" w:eastAsia="it-IT"/>
        </w:rPr>
        <w:t xml:space="preserve">  </w:t>
      </w:r>
      <w:r w:rsidR="008C3A7D">
        <w:rPr>
          <w:rFonts w:ascii="Tahoma" w:hAnsi="Tahoma" w:cs="Tahoma"/>
          <w:sz w:val="20"/>
          <w:szCs w:val="20"/>
          <w:lang w:val="en-US" w:eastAsia="it-IT"/>
        </w:rPr>
        <w:t xml:space="preserve">in predict  </w:t>
      </w:r>
      <w:r w:rsidRPr="001A2287">
        <w:rPr>
          <w:rFonts w:ascii="Tahoma" w:hAnsi="Tahoma" w:cs="Tahoma"/>
          <w:sz w:val="20"/>
          <w:szCs w:val="20"/>
          <w:lang w:val="en-US" w:eastAsia="it-IT"/>
        </w:rPr>
        <w:t xml:space="preserve"> the Reference standard’s rating</w:t>
      </w:r>
    </w:p>
    <w:p w:rsidR="00E90983" w:rsidRPr="001A2287" w:rsidRDefault="001A2287" w:rsidP="001A2287">
      <w:pPr>
        <w:pBdr>
          <w:bottom w:val="single" w:sz="4" w:space="1" w:color="auto"/>
        </w:pBdr>
        <w:rPr>
          <w:lang w:val="en-US"/>
        </w:rPr>
      </w:pPr>
      <w:r w:rsidRPr="001A2287">
        <w:rPr>
          <w:lang w:val="en-US"/>
        </w:rPr>
        <w:t xml:space="preserve">    </w:t>
      </w:r>
    </w:p>
    <w:p w:rsidR="00E90983" w:rsidRPr="001A2287" w:rsidRDefault="00E90983" w:rsidP="00E90983">
      <w:pPr>
        <w:rPr>
          <w:lang w:val="en-US"/>
        </w:rPr>
      </w:pPr>
    </w:p>
    <w:p w:rsidR="00E90983" w:rsidRPr="001A2287" w:rsidRDefault="00E90983" w:rsidP="00E90983">
      <w:pPr>
        <w:rPr>
          <w:lang w:val="en-US"/>
        </w:rPr>
      </w:pPr>
    </w:p>
    <w:p w:rsidR="00E90983" w:rsidRPr="001A2287" w:rsidRDefault="00E90983" w:rsidP="00E90983">
      <w:pPr>
        <w:rPr>
          <w:lang w:val="en-US"/>
        </w:rPr>
      </w:pPr>
    </w:p>
    <w:p w:rsidR="00303140" w:rsidRPr="001A2287" w:rsidRDefault="005D39BB" w:rsidP="00E90983">
      <w:pPr>
        <w:rPr>
          <w:lang w:val="en-US"/>
        </w:rPr>
      </w:pPr>
      <w:r w:rsidRPr="001A2287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03140" w:rsidRPr="001A2287" w:rsidSect="005D39B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D39BB"/>
    <w:rsid w:val="001A2287"/>
    <w:rsid w:val="001D2894"/>
    <w:rsid w:val="001E53B7"/>
    <w:rsid w:val="00303140"/>
    <w:rsid w:val="00394213"/>
    <w:rsid w:val="003A0B59"/>
    <w:rsid w:val="005D39BB"/>
    <w:rsid w:val="007E4D4D"/>
    <w:rsid w:val="008C3A7D"/>
    <w:rsid w:val="00A93C64"/>
    <w:rsid w:val="00DD7C60"/>
    <w:rsid w:val="00E9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39B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dcterms:created xsi:type="dcterms:W3CDTF">2013-06-14T10:14:00Z</dcterms:created>
  <dcterms:modified xsi:type="dcterms:W3CDTF">2013-06-22T09:20:00Z</dcterms:modified>
</cp:coreProperties>
</file>